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32115</w:t>
      </w:r>
    </w:p>
    <w:p w:rsidR="00000000" w:rsidRDefault="003E080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3E0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3E0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3E0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марта </w:t>
      </w:r>
      <w:r>
        <w:rPr>
          <w:rFonts w:ascii="Times New Roman" w:hAnsi="Times New Roman" w:cs="Times New Roman"/>
          <w:b/>
          <w:bCs/>
          <w:sz w:val="36"/>
          <w:szCs w:val="36"/>
        </w:rPr>
        <w:t>2014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125</w:t>
      </w: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000000" w:rsidRDefault="003E0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НАЦИОНАЛЬНОГО КАЛЕНДАРЯ ПРОФИЛАКТИЧЕСКИХ ПРИВИВОК И КАЛЕНДАРЯ ПРОФИЛАКТИЧЕСКИХ ПРИВИВОК П</w:t>
      </w:r>
      <w:r>
        <w:rPr>
          <w:rFonts w:ascii="Times New Roman" w:hAnsi="Times New Roman" w:cs="Times New Roman"/>
          <w:b/>
          <w:bCs/>
          <w:sz w:val="36"/>
          <w:szCs w:val="36"/>
        </w:rPr>
        <w:t>О ЭПИДЕМИЧЕСКИМ ПОКАЗАНИЯМ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Приказов Минздрава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16.06.2016 N 370н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13.04.2017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E0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иммунопрофилактике инфекционных болезней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4736;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3348;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2879;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5084;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6070;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6236;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3739;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6599;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7589;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2331;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6688)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ка</w:t>
      </w:r>
      <w:r>
        <w:rPr>
          <w:rFonts w:ascii="Times New Roman" w:hAnsi="Times New Roman" w:cs="Times New Roman"/>
          <w:sz w:val="24"/>
          <w:szCs w:val="24"/>
        </w:rPr>
        <w:t xml:space="preserve">лендарь профилактических прививок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1;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календарь профилактических прививок по эпидемическим показаниям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000000" w:rsidRDefault="003E0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СКВОРЦОВА</w:t>
      </w:r>
    </w:p>
    <w:p w:rsidR="00000000" w:rsidRDefault="003E0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рта </w:t>
      </w:r>
      <w:r>
        <w:rPr>
          <w:rFonts w:ascii="Times New Roman" w:hAnsi="Times New Roman" w:cs="Times New Roman"/>
          <w:i/>
          <w:iCs/>
          <w:sz w:val="24"/>
          <w:szCs w:val="24"/>
        </w:rPr>
        <w:t>2014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125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3E0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НАЦИОНАЛЬНЫЙ КАЛЕНДАРЬ ПРОФИЛАКТИЧЕСКИХ ПРИВИВОК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Приказов Минздрава РФ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16.06.2016 N 370н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13.04.2017 N 175н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и возраст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обязательной вакцинации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профилактической прививки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Новорожденные в 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жизни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вакцинация против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жизни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туберкулеза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вакцинация против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вакцинация против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вакцинация против пневмококковой инфе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&lt;6.1&gt;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вакцинация против дифтерии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коклюша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столбняка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вакцинация против полиомиелита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вакцинация против гемофильной инфекции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13.04.2017 N 175н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&lt;6.1&gt;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вакцинация против дифтерии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коклюша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столбняка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вакцинация против гемофильной инфекции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орая вакцинация против полиомиелита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вакцинация против пневмококковой инфекции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13.04.2017 N 175н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&lt;6.1&gt;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вакцинация против дифтерии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коклюша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столбняка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вакцинация против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вакцинация против полиомиелита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вакцинация против гемофильной инфекции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13.04.2017 N 175н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против кори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краснухи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эпидемического паротита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вакцинация против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Ревакцинация против пневмококковой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инфекции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&lt;6.1&gt;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ревакцинация против полиомиелита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ревакцинация против дифтерии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коклюша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столбняка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Ревакцинация против гемофильной инфекции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риказа Минздрава РФ </w:t>
            </w: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13.04.2017 N 175н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ревакцинация против полиомиелита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Ревакцинация против кори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краснухи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эпидемического паро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ревакцинация против дифтерии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столбняка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&lt;7&gt;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Ревакцинация против туберкулеза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&lt;8&gt;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ревакцинация против дифтерии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столбняка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&lt;7&gt;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ревакцинация против полиомиелита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Ревакцин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против дифтерии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столбняка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от момента последней ревакцинации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привитые ранее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&lt;9&gt;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привитые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привитые однократно против краснухи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сведений о прививках против краснухи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против краснухи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ревакцинация против краснухи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16.06.2016 N 370н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привитые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привитые однократно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сведений о прививках против кори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группам риска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медицинских 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 социальной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вахтовым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сотрудники государственных контрольных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в пунктах пропуска через государственную границу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привитые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привитые однократно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сведений о прививках против кори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против кори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ревакцинация против кори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&lt;10&gt;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16.06.2016 N 370н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в профессиональных образовательных организациях и образовательных организациях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по отдельным профессиям и должностям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медицинских 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беременные 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взрослые старше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подлежащие призыву на военную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с хроническими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заболеваниями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сосудистыми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метаболическими нарушениями и ожирением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гриппа </w:t>
            </w:r>
          </w:p>
        </w:tc>
      </w:tr>
    </w:tbl>
    <w:p w:rsidR="00000000" w:rsidRDefault="003E0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Первая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вторая и третья вакцинации проводятся по схеме </w:t>
      </w:r>
      <w:r>
        <w:rPr>
          <w:rFonts w:ascii="Times New Roman" w:hAnsi="Times New Roman" w:cs="Times New Roman"/>
          <w:sz w:val="24"/>
          <w:szCs w:val="24"/>
        </w:rPr>
        <w:t>0-1-6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доза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момен</w:t>
      </w:r>
      <w:r>
        <w:rPr>
          <w:rFonts w:ascii="Times New Roman" w:hAnsi="Times New Roman" w:cs="Times New Roman"/>
          <w:sz w:val="24"/>
          <w:szCs w:val="24"/>
        </w:rPr>
        <w:t>т начала вакцинации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доза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через месяц после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прививки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доза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от начала вакцинации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группам риска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вакцинация против вирусного гепатита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которых проводится по схеме </w:t>
      </w:r>
      <w:r>
        <w:rPr>
          <w:rFonts w:ascii="Times New Roman" w:hAnsi="Times New Roman" w:cs="Times New Roman"/>
          <w:sz w:val="24"/>
          <w:szCs w:val="24"/>
        </w:rPr>
        <w:t>0-1-2-12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доза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момент на</w:t>
      </w:r>
      <w:r>
        <w:rPr>
          <w:rFonts w:ascii="Times New Roman" w:hAnsi="Times New Roman" w:cs="Times New Roman"/>
          <w:sz w:val="24"/>
          <w:szCs w:val="24"/>
        </w:rPr>
        <w:t>чала вакцинации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доза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через месяц после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прививки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доза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месяца от начала вакцинации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доза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от начала вакцинации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Вакцинация проводится вакциной для профилактики туберкулеза для щадящей первичной вакцинации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БЦЖ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субъектах Российской Федерации с показателями заболеваемости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превышающими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наличии в окружении новорожденного больных туберкулезом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вакциной для профилактики туберкулеза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БЦЖ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Вакцинация проводится 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</w:t>
      </w:r>
      <w:r>
        <w:rPr>
          <w:rFonts w:ascii="Times New Roman" w:hAnsi="Times New Roman" w:cs="Times New Roman"/>
          <w:sz w:val="24"/>
          <w:szCs w:val="24"/>
        </w:rPr>
        <w:t xml:space="preserve">сящимся к группам риска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родившимся от матерей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носителей </w:t>
      </w:r>
      <w:r>
        <w:rPr>
          <w:rFonts w:ascii="Times New Roman" w:hAnsi="Times New Roman" w:cs="Times New Roman"/>
          <w:sz w:val="24"/>
          <w:szCs w:val="24"/>
        </w:rPr>
        <w:t>HBsAg,</w:t>
      </w:r>
      <w:r>
        <w:rPr>
          <w:rFonts w:ascii="Times New Roman" w:hAnsi="Times New Roman" w:cs="Times New Roman"/>
          <w:sz w:val="24"/>
          <w:szCs w:val="24"/>
        </w:rPr>
        <w:t xml:space="preserve"> больных вирусным гепатитом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или перенесших вирусный гепатит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в третьем триместре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имеющих результатов обследования на маркеры гепатита </w:t>
      </w:r>
      <w:r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z w:val="24"/>
          <w:szCs w:val="24"/>
        </w:rPr>
        <w:t xml:space="preserve"> потребляющих наркотические средств</w:t>
      </w:r>
      <w:r>
        <w:rPr>
          <w:rFonts w:ascii="Times New Roman" w:hAnsi="Times New Roman" w:cs="Times New Roman"/>
          <w:sz w:val="24"/>
          <w:szCs w:val="24"/>
        </w:rPr>
        <w:t>а или психотропные вещества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семей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есть носитель </w:t>
      </w:r>
      <w:r>
        <w:rPr>
          <w:rFonts w:ascii="Times New Roman" w:hAnsi="Times New Roman" w:cs="Times New Roman"/>
          <w:sz w:val="24"/>
          <w:szCs w:val="24"/>
        </w:rPr>
        <w:t>HBsAg</w:t>
      </w:r>
      <w:r>
        <w:rPr>
          <w:rFonts w:ascii="Times New Roman" w:hAnsi="Times New Roman" w:cs="Times New Roman"/>
          <w:sz w:val="24"/>
          <w:szCs w:val="24"/>
        </w:rPr>
        <w:t xml:space="preserve"> или больной острым вирусным гепатитом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и хроническими вирусными гепатитами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Первая и вторая вакцинации проводятся вакциной для профилактики полиомиелита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инактивированной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</w:t>
      </w:r>
      <w:r>
        <w:rPr>
          <w:rFonts w:ascii="Times New Roman" w:hAnsi="Times New Roman" w:cs="Times New Roman"/>
          <w:sz w:val="24"/>
          <w:szCs w:val="24"/>
        </w:rPr>
        <w:t xml:space="preserve"> Вакц</w:t>
      </w:r>
      <w:r>
        <w:rPr>
          <w:rFonts w:ascii="Times New Roman" w:hAnsi="Times New Roman" w:cs="Times New Roman"/>
          <w:sz w:val="24"/>
          <w:szCs w:val="24"/>
        </w:rPr>
        <w:t>инация проводится 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относящимся к группам риска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иммунодефицитными состояниями или анатомическими дефектами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приводящими к резко повышенной опасности заболевания гемофильной инфекцией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 аномалиями развития кишечника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 онкологическими заболеваниями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длительно получающим иммуносупрессивную терапию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рожденным от матерей с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детям с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недоношенным и маловесным детям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находящимся в домах ребенка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Минздрава РФ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13.04.2017 N 175н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</w:t>
      </w:r>
      <w:r>
        <w:rPr>
          <w:rFonts w:ascii="Times New Roman" w:hAnsi="Times New Roman" w:cs="Times New Roman"/>
          <w:sz w:val="24"/>
          <w:szCs w:val="24"/>
        </w:rPr>
        <w:t xml:space="preserve"> Третья вакцинация и последующие ревакцинации против полиомиелита проводятся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детям вакциной для профилактики полиомиелита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живой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относящимся к группам риска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иммунодефици</w:t>
      </w:r>
      <w:r>
        <w:rPr>
          <w:rFonts w:ascii="Times New Roman" w:hAnsi="Times New Roman" w:cs="Times New Roman"/>
          <w:sz w:val="24"/>
          <w:szCs w:val="24"/>
        </w:rPr>
        <w:t>тными состояниями или анатомическими дефектами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приводящими к резко повышенной опасности заболевания гемофильной инфекцией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 аномалиями развития кишечника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 онкологическими заболеваниями 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длительно получающим иммуносупрессивную терапию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рожде</w:t>
      </w:r>
      <w:r>
        <w:rPr>
          <w:rFonts w:ascii="Times New Roman" w:hAnsi="Times New Roman" w:cs="Times New Roman"/>
          <w:sz w:val="24"/>
          <w:szCs w:val="24"/>
        </w:rPr>
        <w:t>нным от матерей с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детям с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недоношенным и маловесным детям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находящимся в домах ребенка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вакциной для профилактики полиомиелита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инактивированной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Минздрава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13.04.2017 N 175н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&lt;6.1&gt;</w:t>
      </w:r>
      <w:r>
        <w:rPr>
          <w:rFonts w:ascii="Times New Roman" w:hAnsi="Times New Roman" w:cs="Times New Roman"/>
          <w:sz w:val="24"/>
          <w:szCs w:val="24"/>
        </w:rPr>
        <w:t xml:space="preserve"> Вакцинация и ревакцинация 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относящимся к группам риска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иммунобиологическими лекарственными препаратами для иммунопрофилактики инфекционных болезней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</w:t>
      </w:r>
      <w:r>
        <w:rPr>
          <w:rFonts w:ascii="Times New Roman" w:hAnsi="Times New Roman" w:cs="Times New Roman"/>
          <w:sz w:val="24"/>
          <w:szCs w:val="24"/>
        </w:rPr>
        <w:t>ми комбинации вакцин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применения в соответствующие возрастные периоды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Минздрава РФ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13.04.2017 N 175н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</w:t>
      </w:r>
      <w:r>
        <w:rPr>
          <w:rFonts w:ascii="Times New Roman" w:hAnsi="Times New Roman" w:cs="Times New Roman"/>
          <w:sz w:val="24"/>
          <w:szCs w:val="24"/>
        </w:rPr>
        <w:t xml:space="preserve"> Вторая ревакцинация проводи</w:t>
      </w:r>
      <w:r>
        <w:rPr>
          <w:rFonts w:ascii="Times New Roman" w:hAnsi="Times New Roman" w:cs="Times New Roman"/>
          <w:sz w:val="24"/>
          <w:szCs w:val="24"/>
        </w:rPr>
        <w:t>тся анатоксинами с уменьшенным содержанием антигенов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</w:t>
      </w:r>
      <w:r>
        <w:rPr>
          <w:rFonts w:ascii="Times New Roman" w:hAnsi="Times New Roman" w:cs="Times New Roman"/>
          <w:sz w:val="24"/>
          <w:szCs w:val="24"/>
        </w:rPr>
        <w:t xml:space="preserve"> Ревакцинация проводится вакциной для профилактики туберкулеза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БЦЖ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&lt;9&gt;</w:t>
      </w:r>
      <w:r>
        <w:rPr>
          <w:rFonts w:ascii="Times New Roman" w:hAnsi="Times New Roman" w:cs="Times New Roman"/>
          <w:sz w:val="24"/>
          <w:szCs w:val="24"/>
        </w:rPr>
        <w:t xml:space="preserve"> Вакцинация проводится детям и взрослым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ранее не привитым против вирусного гепатита </w:t>
      </w:r>
      <w:r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z w:val="24"/>
          <w:szCs w:val="24"/>
        </w:rPr>
        <w:t xml:space="preserve"> по схеме </w:t>
      </w:r>
      <w:r>
        <w:rPr>
          <w:rFonts w:ascii="Times New Roman" w:hAnsi="Times New Roman" w:cs="Times New Roman"/>
          <w:sz w:val="24"/>
          <w:szCs w:val="24"/>
        </w:rPr>
        <w:t>0-1-6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доза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момент нача</w:t>
      </w:r>
      <w:r>
        <w:rPr>
          <w:rFonts w:ascii="Times New Roman" w:hAnsi="Times New Roman" w:cs="Times New Roman"/>
          <w:sz w:val="24"/>
          <w:szCs w:val="24"/>
        </w:rPr>
        <w:t>ла вакцинации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доза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через месяц после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прививки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доза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от начала вакцинации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</w:t>
      </w:r>
      <w:r>
        <w:rPr>
          <w:rFonts w:ascii="Times New Roman" w:hAnsi="Times New Roman" w:cs="Times New Roman"/>
          <w:sz w:val="24"/>
          <w:szCs w:val="24"/>
        </w:rPr>
        <w:t xml:space="preserve"> Интервал между первой и второй прививками должен составлять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0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Порядок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проведения гражданам профилактических прививок в рамках наци</w:t>
      </w:r>
      <w:r>
        <w:rPr>
          <w:rFonts w:ascii="Times New Roman" w:hAnsi="Times New Roman" w:cs="Times New Roman"/>
          <w:b/>
          <w:bCs/>
          <w:sz w:val="27"/>
          <w:szCs w:val="27"/>
        </w:rPr>
        <w:t>онального календаря профилактических прививок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предусматривающей выполнение раб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вакцинации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проведению профилактических прививок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Вакцинацию осуществляют медицинские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прошедшие обучение по вопросам применения иммунобиологических лекарственных препаратов для иммунопрофилактики инфекционных болезней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</w:t>
      </w:r>
      <w:r>
        <w:rPr>
          <w:rFonts w:ascii="Times New Roman" w:hAnsi="Times New Roman" w:cs="Times New Roman"/>
          <w:sz w:val="24"/>
          <w:szCs w:val="24"/>
        </w:rPr>
        <w:t>ции проведения вакцинации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техники проведения вакцинации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вопросам оказания медицинской помощи в экстренной или неотложной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Вакцинация и ревакцинация в рамках национального календаря профилактических прививок проводятся иммунобиологичес</w:t>
      </w:r>
      <w:r>
        <w:rPr>
          <w:rFonts w:ascii="Times New Roman" w:hAnsi="Times New Roman" w:cs="Times New Roman"/>
          <w:sz w:val="24"/>
          <w:szCs w:val="24"/>
        </w:rPr>
        <w:t>кими лекарственными препаратами для иммунопрофилактики инфекционных болезней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зарегистрированными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инструкциям по их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национальным календарем профилактич</w:t>
      </w:r>
      <w:r>
        <w:rPr>
          <w:rFonts w:ascii="Times New Roman" w:hAnsi="Times New Roman" w:cs="Times New Roman"/>
          <w:sz w:val="24"/>
          <w:szCs w:val="24"/>
        </w:rPr>
        <w:t>еских прививок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проведение вакцинации и ревакцинации иммунобиологическими лекарственными препаратами для иммунопрофилактики инфекционных болезней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комбинации вакцин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Минздрава 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13.04.2017 N 175н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Перед проведением профилактической прививки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подлежащему вакцинации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его законному представителю разъясняется необходимость иммунопрофилактики инфекционных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болезней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возможные </w:t>
      </w:r>
      <w:r>
        <w:rPr>
          <w:rFonts w:ascii="Times New Roman" w:hAnsi="Times New Roman" w:cs="Times New Roman"/>
          <w:sz w:val="24"/>
          <w:szCs w:val="24"/>
        </w:rPr>
        <w:t>поствакцинальные реакции и осложнения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&lt;1&gt;.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3442;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3446;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3459;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4038;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4883;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6951.</w:t>
      </w:r>
    </w:p>
    <w:p w:rsidR="00000000" w:rsidRDefault="003E0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Все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должны проводиться профилактические прививки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 подвергаются осмотру врачом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фельдшером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&lt;1&gt;.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Приказ Министерства здравоохранения и социального развития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252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Порядка возложения на фельдшера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акушерку руководителем медицинской организации при организации оказания пер</w:t>
      </w:r>
      <w:r>
        <w:rPr>
          <w:rFonts w:ascii="Times New Roman" w:hAnsi="Times New Roman" w:cs="Times New Roman"/>
          <w:sz w:val="24"/>
          <w:szCs w:val="24"/>
        </w:rPr>
        <w:t>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назначению и применению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наркотические лекарственные препараты и психотропные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 </w:t>
      </w:r>
      <w:r>
        <w:rPr>
          <w:rFonts w:ascii="Times New Roman" w:hAnsi="Times New Roman" w:cs="Times New Roman"/>
          <w:sz w:val="24"/>
          <w:szCs w:val="24"/>
        </w:rPr>
        <w:t>23971).</w:t>
      </w:r>
    </w:p>
    <w:p w:rsidR="00000000" w:rsidRDefault="003E0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 изменении сроков вакцинации ее проводят по предусмо</w:t>
      </w:r>
      <w:r>
        <w:rPr>
          <w:rFonts w:ascii="Times New Roman" w:hAnsi="Times New Roman" w:cs="Times New Roman"/>
          <w:sz w:val="24"/>
          <w:szCs w:val="24"/>
        </w:rPr>
        <w:t>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введение вакцин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вакцин для профилак</w:t>
      </w:r>
      <w:r>
        <w:rPr>
          <w:rFonts w:ascii="Times New Roman" w:hAnsi="Times New Roman" w:cs="Times New Roman"/>
          <w:sz w:val="24"/>
          <w:szCs w:val="24"/>
        </w:rPr>
        <w:t>тики туберкулеза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в рамках национального календаря профилактических прививок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один день разными шприцами в разные участки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Вакцинация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иммунопрофилактика против пневмококковой инфекции не была начата в первые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двукратно с интервалом между прививками не менее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Вакцинация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рожденных от матерей с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рамках национального календаря профилактических прививок в соответствии с инструкциями по применению и</w:t>
      </w:r>
      <w:r>
        <w:rPr>
          <w:rFonts w:ascii="Times New Roman" w:hAnsi="Times New Roman" w:cs="Times New Roman"/>
          <w:sz w:val="24"/>
          <w:szCs w:val="24"/>
        </w:rPr>
        <w:t>ммунобиологических лекарственных препаратов для иммунопрофилактики инфекционных болезней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вакцинации таких детей учитываются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статус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 вакцины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показатели иммунного статуса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возраст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сопутствующие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Ревакцинация дет</w:t>
      </w:r>
      <w:r>
        <w:rPr>
          <w:rFonts w:ascii="Times New Roman" w:hAnsi="Times New Roman" w:cs="Times New Roman"/>
          <w:sz w:val="24"/>
          <w:szCs w:val="24"/>
        </w:rPr>
        <w:t>ей против туберкулеза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рожденных от матерей с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инфекцией и получавших трехэтапную химиопрофилактику передачи ВИЧ от матери ребенку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 время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родов и в периоде новорожденности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родильном доме вакцинами для профилактики туберку</w:t>
      </w:r>
      <w:r>
        <w:rPr>
          <w:rFonts w:ascii="Times New Roman" w:hAnsi="Times New Roman" w:cs="Times New Roman"/>
          <w:sz w:val="24"/>
          <w:szCs w:val="24"/>
        </w:rPr>
        <w:t xml:space="preserve">леза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щадящей первичной вакцинации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 детей с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обнаружении у детей нуклеиновых кислот ВИЧ молекулярными методами ревакцинация против туберкулеза не проводится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Вакцинация живыми вакцинами в рамках национального календаря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профилактических прививок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вакцин для профилактики туберкулеза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проводится детям с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инфекцией с </w:t>
      </w: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й и </w:t>
      </w:r>
      <w:r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й иммунными категориями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отсутствие иммунодефицита или умеренный иммунодефицит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При исключении диагноза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инфекции 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рожде</w:t>
      </w:r>
      <w:r>
        <w:rPr>
          <w:rFonts w:ascii="Times New Roman" w:hAnsi="Times New Roman" w:cs="Times New Roman"/>
          <w:sz w:val="24"/>
          <w:szCs w:val="24"/>
        </w:rPr>
        <w:t>нным от матерей с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проводят вакцинацию живыми вакцинами без предварительного иммунологического 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Анатоксины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убитые и рекомбинантные вакцины в рамках национального календаря профилактических прививок вводят всем 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рожденн</w:t>
      </w:r>
      <w:r>
        <w:rPr>
          <w:rFonts w:ascii="Times New Roman" w:hAnsi="Times New Roman" w:cs="Times New Roman"/>
          <w:sz w:val="24"/>
          <w:szCs w:val="24"/>
        </w:rPr>
        <w:t>ым от матерей с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Детям с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вакцинации населения и</w:t>
      </w:r>
      <w:r>
        <w:rPr>
          <w:rFonts w:ascii="Times New Roman" w:hAnsi="Times New Roman" w:cs="Times New Roman"/>
          <w:sz w:val="24"/>
          <w:szCs w:val="24"/>
        </w:rPr>
        <w:t>спользуются вакцины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актуальные для Российской Федерации антигены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позволяющие обеспечить максимальную эффективность иммунизации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вакцинации против гепатита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детей первого года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 гриппа детей с </w:t>
      </w:r>
      <w:r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месячного возраст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беременных женщин используются вакцины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содержащие консервантов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0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i/>
          <w:iCs/>
          <w:sz w:val="24"/>
          <w:szCs w:val="24"/>
        </w:rPr>
        <w:t>2014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125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3E0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КАЛЕНДАРЬ ПРОФИЛАКТИЧЕСКИХ ПРИВИВ</w:t>
      </w:r>
      <w:r>
        <w:rPr>
          <w:rFonts w:ascii="Times New Roman" w:hAnsi="Times New Roman" w:cs="Times New Roman"/>
          <w:b/>
          <w:bCs/>
          <w:sz w:val="36"/>
          <w:szCs w:val="36"/>
        </w:rPr>
        <w:t>ОК ПО ЭПИДЕМИЧЕСКИМ ПОКАЗАНИЯМ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Приказов Минздрава РФ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16.06.2016 N 370н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13.04.2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017 N 175н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профилактической прививки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обязательной вакцинации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туляремии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на энзоотичных по туляремии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прибывшие на эти территории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выполняющие следующие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гидромелиоративные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работы по выемке и перемещению грунта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промысловые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изыскательские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дератизационные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дезинсекционные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лесозаготовке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расчистке и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гоустройству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 оздоровления и отдыха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с живыми культурами возбудителя туляремии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 чумы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на энзоотичных по чуме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с живыми культурами возбудителя чумы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бруцелл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очагах козье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овечьего типа бруцеллеза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выполняющие следующие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сырья и продуктов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из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регистрируются заболевания скота бруцеллезом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убою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бруце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заготовке и переработке полученных от него мяса и мясопродуктов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ветеринарные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зоотехники в хозяйствах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энзоотичных по бруцеллезу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с живыми культурами возбудителя бруцеллеза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сибирской язвы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полняющие следующие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зооветработники и другие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 занятые предубойным содержанием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убоем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снятием шкур и разделкой туш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и первичная обработка сырья животного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охозяйственные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гидромелиоративные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выемке и перемещению грунта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промысловые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изыскательские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экспедиционные на энзоотичных по сибирской язве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с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подозрительным на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ицирование возбудителем сибирской язвы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бешенства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профилактической целью вакцинируют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высокий риск заражения бешенством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вирусом бешенства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ветеринарные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работы по отлову и содержанию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 лептоспироза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выполняющие следующие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сырья и продуктов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из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энзоотичных по лептоспирозу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убою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лептоспирозом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заготовке и переработке мяса и мясопродуктов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от больных лептоспирозом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отлову и содержанию безнадзорных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с живыми культурами возбудителя лептоспироза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щевого вирусного энцефалита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на эндемичных по клещевому вирусному энцефалиту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выезжающие на эндемичные по клещевому вирусному энцефалиту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прибывшие на эти территории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выполняющие следующие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гидромелиоративные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выемке и перемещению грунта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промысловые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изыскательские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дератизационные и дезинсекционные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лесозаготовке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расчистке и благоустройству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 оздоровления и отдыха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с живыми культурами возбудителя клещевого энцефалита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лихорадки Ку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выполняющие работы по заготовке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сырья и продуктов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из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истрируются заболевания лихорадкой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выполняющие работы по заготовке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хранению и переработке сельскохозяйственной продукции на энзоотичных территориях по лихорадке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с живыми культурами возбудителей лихорадки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желтой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лихорадки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выезжающие за пределы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в энзоотичные по желтой лихорадке 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с живыми культурами возбудителя желтой лихорадки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 холеры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выезжающие в неблагополучные по холере 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субъектов Российской Федерации в случае осложнения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эпидемиологической обстановки по холере в сопредельных странах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брюшного тифа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занятые в сфере коммунального 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канализационные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и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санитарную очистку населенных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транспортировку и утилизацию бытовых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с живыми культурами возбудителей брюш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проживающее на территориях с хроническими водными эпидемиями брюшного тифа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выезжающие в гиперэндемичные по брюшному тифу 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 в очагах брюшного тифа по эпидемическим показаниям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эпидемическим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азаниям прививки проводят при угрозе возникновения эпидемии или вспышки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крупные аварии на водопроводной и канализационной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период эпидемии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в угрожаемом регионе проводят массовую вакцинацию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в регионах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неблагополучных по заболеваемости гепатитом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подверженные профессиональному риску заражения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сферы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занятые на предприятиях пищевой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обслуживающие водопроводные и канализационные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выезжающие в неблагополучные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регистрируется вспышечная заболеваемость гепатитом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лица в очагах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отив шигеллезов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медицинских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занятые в сфере общественного питания и коммунального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посещающие дошкольные образовательные организации и отъезжающие 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эпидемическим показаниям прививки проводятся при угрозе возникновения эпидемии или вспышки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крупные аварии на водопроводной и канализационной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в период эпидемии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в угрожаемом регионе проводят массовую вакцинацию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 предпочтительно проводить перед сезонным подъемом заболеваемости шигеллезами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менингококковой инфекции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взрослые в очагах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менингококковой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вызванной менингококками серогрупп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проводится в эндемичных регионах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случае эпидемии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вызванной менингококками серогрупп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подлежащие призыву на военную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кори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 без ограничения возраста из очагов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не болевшие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привитые и не имеющие сведений о профилактических прививках против кори или однократно привитые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 из очагов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привитые и не имеющие сведений о профилактических прививках против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дифтерии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 из очагов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привитые и не имеющие сведений о профилактических прививках против дифтерии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эпиде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мического паротита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 из очагов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привитые и не имеющие сведений о профилактических прививках против эпидемического паротита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полиомиелита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 в очагах полиомиелита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вызванного 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полиовирусом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при подозрении на заболевание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прибывшие из эндемичных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полиомиелиту стран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однократно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 достоверных данных о предшествующих прививках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трехкратно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их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без определенного места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их выявлении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однократно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достоверных данных о предшествующих прививках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их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контактировавшие с прибывшими из эндемичных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полиомиелиту стран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жизни без ограничения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с живым полиовирусом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инфицированными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потенциально инфицированными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диким вирусом полиомиелита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ограничения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однократно при приеме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пневмококковой инфекции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взрослые из групп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призыву на военную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лиц старше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страдающих хроническими заболеваниями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РФ </w:t>
            </w: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16.06.2016 N 370н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ротавирусной инфекции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для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вакцинации с целью профилактики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вызываемых ротавирусами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ветряной оспы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взрослые из групп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призыву на военную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не привитые и не болевшие ветряной оспой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гемофильной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екции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привитые на первом году жизни против гемофильной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E0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0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Порядок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проведения гражданам профилактических прививок в рамках календаря профилактических прививок по эпидемическим показаниям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прививки в рамках календаря п</w:t>
      </w:r>
      <w:r>
        <w:rPr>
          <w:rFonts w:ascii="Times New Roman" w:hAnsi="Times New Roman" w:cs="Times New Roman"/>
          <w:sz w:val="24"/>
          <w:szCs w:val="24"/>
        </w:rPr>
        <w:t>рофилактических прививок по эпидемическим показаниям проводятся гражданам в медицинских организациях при наличии у таких организаций лицензии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предусматривающей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вакцинации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проведению профилактических прививок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Вакцинацию ос</w:t>
      </w:r>
      <w:r>
        <w:rPr>
          <w:rFonts w:ascii="Times New Roman" w:hAnsi="Times New Roman" w:cs="Times New Roman"/>
          <w:sz w:val="24"/>
          <w:szCs w:val="24"/>
        </w:rPr>
        <w:t>уществляют медицинские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прошедшие обучение по вопросам применения иммунобиологических лекарственных препаратов для иммунопрофилактики инфекционных болезней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проведения вакцинации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техники проведения вакцинации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вопросам ока</w:t>
      </w:r>
      <w:r>
        <w:rPr>
          <w:rFonts w:ascii="Times New Roman" w:hAnsi="Times New Roman" w:cs="Times New Roman"/>
          <w:sz w:val="24"/>
          <w:szCs w:val="24"/>
        </w:rPr>
        <w:t>зания медицинской помощи в экстренной или неотложной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</w:t>
      </w:r>
      <w:r>
        <w:rPr>
          <w:rFonts w:ascii="Times New Roman" w:hAnsi="Times New Roman" w:cs="Times New Roman"/>
          <w:sz w:val="24"/>
          <w:szCs w:val="24"/>
        </w:rPr>
        <w:t xml:space="preserve"> болезней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зарегистрированными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инструкциям по их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Перед проведением профилактической прививки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подлежащему вакцинации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его законному представителю разъясняется необход</w:t>
      </w:r>
      <w:r>
        <w:rPr>
          <w:rFonts w:ascii="Times New Roman" w:hAnsi="Times New Roman" w:cs="Times New Roman"/>
          <w:sz w:val="24"/>
          <w:szCs w:val="24"/>
        </w:rPr>
        <w:t>имость иммунопрофилактики инфекционных болезней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возможные поствакцинальные реакции и осложнения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требованиями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Все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должны про</w:t>
      </w:r>
      <w:r>
        <w:rPr>
          <w:rFonts w:ascii="Times New Roman" w:hAnsi="Times New Roman" w:cs="Times New Roman"/>
          <w:sz w:val="24"/>
          <w:szCs w:val="24"/>
        </w:rPr>
        <w:t>водиться профилактические прививки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 подвергаются осмотру врачом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фельдшером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&lt;*&gt;.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Приказ Министерства здравоохранения и социального развития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252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Порядка воз</w:t>
      </w:r>
      <w:r>
        <w:rPr>
          <w:rFonts w:ascii="Times New Roman" w:hAnsi="Times New Roman" w:cs="Times New Roman"/>
          <w:sz w:val="24"/>
          <w:szCs w:val="24"/>
        </w:rPr>
        <w:t>ложения на фельдшера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акушерку руководителем медицинской организации при организации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и скорой медицинской помощи отдельных функций лечащего врача по непосредственному оказанию медицинской помощи пациенту в период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 ним и его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назначению и применению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наркотические лекарственные препараты и психотропные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 </w:t>
      </w:r>
      <w:r>
        <w:rPr>
          <w:rFonts w:ascii="Times New Roman" w:hAnsi="Times New Roman" w:cs="Times New Roman"/>
          <w:sz w:val="24"/>
          <w:szCs w:val="24"/>
        </w:rPr>
        <w:t>23971).</w:t>
      </w:r>
    </w:p>
    <w:p w:rsidR="00000000" w:rsidRDefault="003E0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введение инактивированных вакцин в один день разными шприцами в разные участки тела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Интервал между прививками против разных инфекций при раздельном их проведении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в один день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должен составлять не м</w:t>
      </w:r>
      <w:r>
        <w:rPr>
          <w:rFonts w:ascii="Times New Roman" w:hAnsi="Times New Roman" w:cs="Times New Roman"/>
          <w:sz w:val="24"/>
          <w:szCs w:val="24"/>
        </w:rPr>
        <w:t xml:space="preserve">енее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Вакцинация против полиомиелита по эпидемическим показаниям проводится вакциной для профилактики полиомиелита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живой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вакциной для профилактики полиомиелита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инактивированной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Показаниями для проведения вакцинации детей вакциной для про</w:t>
      </w:r>
      <w:r>
        <w:rPr>
          <w:rFonts w:ascii="Times New Roman" w:hAnsi="Times New Roman" w:cs="Times New Roman"/>
          <w:sz w:val="24"/>
          <w:szCs w:val="24"/>
        </w:rPr>
        <w:t xml:space="preserve">филактики полиомиелита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живой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эпидемическим показаниям являются регистрация случая полиомиелита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вызванного диким полиовирусом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выделение дикого полиовируса в биологическом материале человека или из объектов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Показаниями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вакцинации детей вакциной для профилактики полиомиелита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инактивированной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эпидемическим показаниям являются регистрация случая полиомиелита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вызванного вакцинородственным штаммом полиовируса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выделение вакцинородственного штамма полиовируса в биологич</w:t>
      </w:r>
      <w:r>
        <w:rPr>
          <w:rFonts w:ascii="Times New Roman" w:hAnsi="Times New Roman" w:cs="Times New Roman"/>
          <w:sz w:val="24"/>
          <w:szCs w:val="24"/>
        </w:rPr>
        <w:t>еском материале человека или из объектов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Минздрава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13.04.2017 N 175н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E080D" w:rsidRDefault="003E08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Вакцинация против полиомиелита по эпидемическим показаниям пров</w:t>
      </w:r>
      <w:r>
        <w:rPr>
          <w:rFonts w:ascii="Times New Roman" w:hAnsi="Times New Roman" w:cs="Times New Roman"/>
          <w:sz w:val="24"/>
          <w:szCs w:val="24"/>
        </w:rPr>
        <w:t>одится в соответствии с постановлением главного государственного санитарного врача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определяется возраст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вакцинации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кратность ее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Минздрава РФ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13.04.2017 N 175н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3E08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0E56"/>
    <w:rsid w:val="003E080D"/>
    <w:rsid w:val="00EE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76447#l1" TargetMode="External"/><Relationship Id="rId13" Type="http://schemas.openxmlformats.org/officeDocument/2006/relationships/hyperlink" Target="https://normativ.kontur.ru/document?moduleid=1&amp;documentid=293576#l14" TargetMode="External"/><Relationship Id="rId18" Type="http://schemas.openxmlformats.org/officeDocument/2006/relationships/hyperlink" Target="https://normativ.kontur.ru/document?moduleid=1&amp;documentid=293576#l14" TargetMode="External"/><Relationship Id="rId26" Type="http://schemas.openxmlformats.org/officeDocument/2006/relationships/hyperlink" Target="https://normativ.kontur.ru/document?moduleid=1&amp;documentid=293576#l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76447#l10" TargetMode="External"/><Relationship Id="rId7" Type="http://schemas.openxmlformats.org/officeDocument/2006/relationships/hyperlink" Target="https://normativ.kontur.ru/document?moduleid=1&amp;documentid=67895#l404" TargetMode="External"/><Relationship Id="rId12" Type="http://schemas.openxmlformats.org/officeDocument/2006/relationships/hyperlink" Target="https://normativ.kontur.ru/document?moduleid=1&amp;documentid=293576#l14" TargetMode="External"/><Relationship Id="rId17" Type="http://schemas.openxmlformats.org/officeDocument/2006/relationships/hyperlink" Target="https://normativ.kontur.ru/document?moduleid=1&amp;documentid=293576#l14" TargetMode="External"/><Relationship Id="rId25" Type="http://schemas.openxmlformats.org/officeDocument/2006/relationships/hyperlink" Target="https://normativ.kontur.ru/document?moduleid=1&amp;documentid=293576#l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93576#l14" TargetMode="External"/><Relationship Id="rId20" Type="http://schemas.openxmlformats.org/officeDocument/2006/relationships/hyperlink" Target="https://normativ.kontur.ru/document?moduleid=1&amp;documentid=283446#l60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67895#l44" TargetMode="External"/><Relationship Id="rId11" Type="http://schemas.openxmlformats.org/officeDocument/2006/relationships/hyperlink" Target="https://normativ.kontur.ru/document?moduleid=1&amp;documentid=293576#l14" TargetMode="External"/><Relationship Id="rId24" Type="http://schemas.openxmlformats.org/officeDocument/2006/relationships/hyperlink" Target="https://normativ.kontur.ru/document?moduleid=1&amp;documentid=283446#l608" TargetMode="External"/><Relationship Id="rId5" Type="http://schemas.openxmlformats.org/officeDocument/2006/relationships/hyperlink" Target="https://normativ.kontur.ru/document?moduleid=1&amp;documentid=293576#l0" TargetMode="External"/><Relationship Id="rId15" Type="http://schemas.openxmlformats.org/officeDocument/2006/relationships/hyperlink" Target="https://normativ.kontur.ru/document?moduleid=1&amp;documentid=276447#l15" TargetMode="External"/><Relationship Id="rId23" Type="http://schemas.openxmlformats.org/officeDocument/2006/relationships/hyperlink" Target="https://normativ.kontur.ru/document?moduleid=1&amp;documentid=276447#l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93576#l14" TargetMode="External"/><Relationship Id="rId19" Type="http://schemas.openxmlformats.org/officeDocument/2006/relationships/hyperlink" Target="https://normativ.kontur.ru/document?moduleid=1&amp;documentid=293576#l14" TargetMode="External"/><Relationship Id="rId4" Type="http://schemas.openxmlformats.org/officeDocument/2006/relationships/hyperlink" Target="https://normativ.kontur.ru/document?moduleid=1&amp;documentid=276447#l0" TargetMode="External"/><Relationship Id="rId9" Type="http://schemas.openxmlformats.org/officeDocument/2006/relationships/hyperlink" Target="https://normativ.kontur.ru/document?moduleid=1&amp;documentid=293576#l0" TargetMode="External"/><Relationship Id="rId14" Type="http://schemas.openxmlformats.org/officeDocument/2006/relationships/hyperlink" Target="https://normativ.kontur.ru/document?moduleid=1&amp;documentid=276447#l15" TargetMode="External"/><Relationship Id="rId22" Type="http://schemas.openxmlformats.org/officeDocument/2006/relationships/hyperlink" Target="https://normativ.kontur.ru/document?moduleid=1&amp;documentid=293576#l1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4328</Words>
  <Characters>24674</Characters>
  <Application>Microsoft Office Word</Application>
  <DocSecurity>0</DocSecurity>
  <Lines>205</Lines>
  <Paragraphs>57</Paragraphs>
  <ScaleCrop>false</ScaleCrop>
  <Company/>
  <LinksUpToDate>false</LinksUpToDate>
  <CharactersWithSpaces>28945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2019-04-03T06:39:00Z</dcterms:created>
  <dcterms:modified xsi:type="dcterms:W3CDTF">2019-04-03T06:39:00Z</dcterms:modified>
</cp:coreProperties>
</file>